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170"/>
        <w:gridCol w:w="952"/>
        <w:gridCol w:w="1701"/>
        <w:gridCol w:w="47"/>
        <w:gridCol w:w="1188"/>
      </w:tblGrid>
      <w:tr w:rsidR="00590DD0">
        <w:trPr>
          <w:cantSplit/>
        </w:trPr>
        <w:tc>
          <w:tcPr>
            <w:tcW w:w="9036" w:type="dxa"/>
            <w:gridSpan w:val="7"/>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590DD0" w:rsidRDefault="00590DD0">
            <w:pPr>
              <w:rPr>
                <w:rFonts w:ascii="Arial" w:hAnsi="Arial"/>
                <w:b/>
                <w:sz w:val="28"/>
                <w:lang w:val="en-GB"/>
              </w:rPr>
            </w:pPr>
          </w:p>
          <w:p w:rsidR="00590DD0" w:rsidRDefault="00590DD0">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590DD0" w:rsidRDefault="00590DD0">
            <w:pPr>
              <w:tabs>
                <w:tab w:val="center" w:pos="4560"/>
              </w:tabs>
              <w:rPr>
                <w:rFonts w:ascii="Arial" w:hAnsi="Arial"/>
                <w:lang w:val="fr-CA"/>
              </w:rPr>
            </w:pPr>
          </w:p>
          <w:p w:rsidR="00590DD0" w:rsidRDefault="00A32BC8">
            <w:pPr>
              <w:jc w:val="center"/>
              <w:rPr>
                <w:rFonts w:ascii="Arial" w:hAnsi="Arial"/>
              </w:rPr>
            </w:pPr>
            <w:r w:rsidRPr="00A32BC8">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590DD0" w:rsidRDefault="00590DD0">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590DD0" w:rsidRDefault="00590DD0">
            <w:pPr>
              <w:jc w:val="center"/>
              <w:rPr>
                <w:rFonts w:ascii="Arial" w:hAnsi="Arial"/>
                <w:lang w:val="en-GB"/>
              </w:rPr>
            </w:pPr>
          </w:p>
          <w:p w:rsidR="00590DD0" w:rsidRDefault="00590DD0">
            <w:pPr>
              <w:jc w:val="center"/>
              <w:rPr>
                <w:rFonts w:ascii="Arial" w:hAnsi="Arial"/>
                <w:lang w:val="en-GB"/>
              </w:rPr>
            </w:pPr>
          </w:p>
          <w:p w:rsidR="00590DD0" w:rsidRDefault="00590DD0">
            <w:pPr>
              <w:pStyle w:val="Heading1"/>
              <w:rPr>
                <w:rFonts w:ascii="Arial" w:hAnsi="Arial"/>
                <w:sz w:val="28"/>
              </w:rPr>
            </w:pPr>
            <w:proofErr w:type="gramStart"/>
            <w:r>
              <w:rPr>
                <w:rFonts w:ascii="Arial" w:hAnsi="Arial"/>
                <w:sz w:val="28"/>
              </w:rPr>
              <w:t>COURSE  OUTLINE</w:t>
            </w:r>
            <w:proofErr w:type="gramEnd"/>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6"/>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6"/>
          </w:tcPr>
          <w:p w:rsidR="00590DD0" w:rsidRDefault="00590DD0">
            <w:pPr>
              <w:pStyle w:val="Heading3"/>
              <w:rPr>
                <w:b w:val="0"/>
                <w:bCs/>
              </w:rPr>
            </w:pPr>
            <w:r>
              <w:rPr>
                <w:b w:val="0"/>
                <w:bCs/>
              </w:rPr>
              <w:t xml:space="preserve">OFFICE </w:t>
            </w:r>
            <w:proofErr w:type="gramStart"/>
            <w:r>
              <w:rPr>
                <w:b w:val="0"/>
                <w:bCs/>
              </w:rPr>
              <w:t>ADMINISTRATION  -</w:t>
            </w:r>
            <w:proofErr w:type="gramEnd"/>
            <w:r>
              <w:rPr>
                <w:b w:val="0"/>
                <w:bCs/>
              </w:rPr>
              <w:t xml:space="preserve">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6"/>
          </w:tcPr>
          <w:p w:rsidR="00590DD0" w:rsidRDefault="00590DD0">
            <w:pPr>
              <w:pStyle w:val="Heading3"/>
              <w:rPr>
                <w:b w:val="0"/>
                <w:bCs/>
              </w:rPr>
            </w:pPr>
            <w:r>
              <w:rPr>
                <w:b w:val="0"/>
                <w:bCs/>
              </w:rPr>
              <w:t>LYNN DEE EASON</w:t>
            </w:r>
          </w:p>
        </w:tc>
      </w:tr>
      <w:tr w:rsidR="00590DD0">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5F3151">
            <w:pPr>
              <w:pStyle w:val="Heading3"/>
              <w:rPr>
                <w:b w:val="0"/>
                <w:bCs/>
              </w:rPr>
            </w:pPr>
            <w:proofErr w:type="gramStart"/>
            <w:r>
              <w:rPr>
                <w:b w:val="0"/>
                <w:bCs/>
              </w:rPr>
              <w:t>DEC</w:t>
            </w:r>
            <w:r w:rsidR="006C4D34">
              <w:rPr>
                <w:b w:val="0"/>
                <w:bCs/>
              </w:rPr>
              <w:t>.</w:t>
            </w:r>
            <w:proofErr w:type="gramEnd"/>
            <w:r w:rsidR="006C4D34">
              <w:rPr>
                <w:b w:val="0"/>
                <w:bCs/>
              </w:rPr>
              <w:t xml:space="preserve"> </w:t>
            </w:r>
            <w:r w:rsidR="00DE3362">
              <w:rPr>
                <w:b w:val="0"/>
                <w:bCs/>
              </w:rPr>
              <w:t xml:space="preserve"> 200</w:t>
            </w:r>
            <w:r w:rsidR="000F66B6">
              <w:rPr>
                <w:b w:val="0"/>
                <w:bCs/>
              </w:rPr>
              <w:t>8</w:t>
            </w:r>
          </w:p>
        </w:tc>
        <w:tc>
          <w:tcPr>
            <w:tcW w:w="3870" w:type="dxa"/>
            <w:gridSpan w:val="4"/>
          </w:tcPr>
          <w:p w:rsidR="00590DD0" w:rsidRDefault="00590DD0">
            <w:pPr>
              <w:rPr>
                <w:rFonts w:ascii="Arial" w:hAnsi="Arial"/>
                <w:b/>
              </w:rPr>
            </w:pPr>
            <w:r>
              <w:rPr>
                <w:rFonts w:ascii="Arial" w:hAnsi="Arial"/>
                <w:b/>
                <w:lang w:val="en-GB"/>
              </w:rPr>
              <w:t>PREVIOUS OUTLINE DATED:</w:t>
            </w:r>
          </w:p>
        </w:tc>
        <w:tc>
          <w:tcPr>
            <w:tcW w:w="1188" w:type="dxa"/>
          </w:tcPr>
          <w:p w:rsidR="00590DD0" w:rsidRDefault="00DE3362" w:rsidP="000F66B6">
            <w:pPr>
              <w:rPr>
                <w:rFonts w:ascii="Arial" w:hAnsi="Arial"/>
                <w:bCs/>
              </w:rPr>
            </w:pPr>
            <w:r>
              <w:rPr>
                <w:rFonts w:ascii="Arial" w:hAnsi="Arial"/>
                <w:bCs/>
              </w:rPr>
              <w:t>DEC. 200</w:t>
            </w:r>
            <w:r w:rsidR="000F66B6">
              <w:rPr>
                <w:rFonts w:ascii="Arial" w:hAnsi="Arial"/>
                <w:bCs/>
              </w:rPr>
              <w:t>7</w:t>
            </w:r>
          </w:p>
        </w:tc>
      </w:tr>
      <w:tr w:rsidR="00590DD0">
        <w:trPr>
          <w:cantSplit/>
        </w:trPr>
        <w:tc>
          <w:tcPr>
            <w:tcW w:w="2518" w:type="dxa"/>
          </w:tcPr>
          <w:p w:rsidR="00590DD0" w:rsidRDefault="00590DD0">
            <w:pPr>
              <w:rPr>
                <w:rFonts w:ascii="Arial" w:hAnsi="Arial"/>
              </w:rPr>
            </w:pPr>
            <w:r>
              <w:rPr>
                <w:rFonts w:ascii="Arial" w:hAnsi="Arial"/>
                <w:b/>
                <w:lang w:val="en-GB"/>
              </w:rPr>
              <w:t>APPROVED:</w:t>
            </w:r>
          </w:p>
        </w:tc>
        <w:tc>
          <w:tcPr>
            <w:tcW w:w="5330" w:type="dxa"/>
            <w:gridSpan w:val="5"/>
          </w:tcPr>
          <w:p w:rsidR="00590DD0" w:rsidRDefault="00247AA4">
            <w:pPr>
              <w:jc w:val="center"/>
              <w:rPr>
                <w:rFonts w:ascii="Arial" w:hAnsi="Arial"/>
                <w:bCs/>
              </w:rPr>
            </w:pPr>
            <w:r>
              <w:rPr>
                <w:rFonts w:ascii="Arial" w:hAnsi="Arial"/>
                <w:bCs/>
              </w:rPr>
              <w:t>“Penny Perrier”</w:t>
            </w:r>
          </w:p>
        </w:tc>
        <w:tc>
          <w:tcPr>
            <w:tcW w:w="1188" w:type="dxa"/>
          </w:tcPr>
          <w:p w:rsidR="00590DD0" w:rsidRDefault="00590DD0">
            <w:pPr>
              <w:rPr>
                <w:rFonts w:ascii="Arial" w:hAnsi="Arial"/>
                <w:bCs/>
              </w:rPr>
            </w:pPr>
          </w:p>
        </w:tc>
      </w:tr>
      <w:tr w:rsidR="00590DD0">
        <w:trPr>
          <w:cantSplit/>
        </w:trPr>
        <w:tc>
          <w:tcPr>
            <w:tcW w:w="2518" w:type="dxa"/>
          </w:tcPr>
          <w:p w:rsidR="00590DD0" w:rsidRDefault="00590DD0">
            <w:pPr>
              <w:rPr>
                <w:rFonts w:ascii="Arial" w:hAnsi="Arial"/>
              </w:rPr>
            </w:pPr>
          </w:p>
        </w:tc>
        <w:tc>
          <w:tcPr>
            <w:tcW w:w="5330" w:type="dxa"/>
            <w:gridSpan w:val="5"/>
          </w:tcPr>
          <w:p w:rsidR="00590DD0" w:rsidRDefault="00590DD0">
            <w:pPr>
              <w:pStyle w:val="Heading2"/>
              <w:rPr>
                <w:rFonts w:ascii="Arial" w:hAnsi="Arial"/>
                <w:lang w:val="en-US"/>
              </w:rPr>
            </w:pPr>
            <w:r>
              <w:rPr>
                <w:rFonts w:ascii="Arial" w:hAnsi="Arial"/>
                <w:lang w:val="en-US"/>
              </w:rPr>
              <w:t>__________________________________</w:t>
            </w:r>
          </w:p>
          <w:p w:rsidR="00590DD0" w:rsidRDefault="0074447F">
            <w:pPr>
              <w:pStyle w:val="Heading2"/>
              <w:rPr>
                <w:rFonts w:ascii="Arial" w:hAnsi="Arial"/>
                <w:lang w:val="en-US"/>
              </w:rPr>
            </w:pPr>
            <w:r>
              <w:rPr>
                <w:rFonts w:ascii="Arial" w:hAnsi="Arial"/>
                <w:lang w:val="en-US"/>
              </w:rPr>
              <w:t>CHAIR</w:t>
            </w:r>
          </w:p>
        </w:tc>
        <w:tc>
          <w:tcPr>
            <w:tcW w:w="1188" w:type="dxa"/>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6"/>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6"/>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3"/>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7"/>
          </w:tcPr>
          <w:p w:rsidR="00590DD0" w:rsidRDefault="00590DD0">
            <w:pPr>
              <w:pStyle w:val="Heading2"/>
              <w:tabs>
                <w:tab w:val="center" w:pos="4560"/>
              </w:tabs>
              <w:rPr>
                <w:rFonts w:ascii="Arial" w:hAnsi="Arial"/>
              </w:rPr>
            </w:pPr>
          </w:p>
          <w:p w:rsidR="00590DD0" w:rsidRDefault="000F66B6">
            <w:pPr>
              <w:pStyle w:val="Heading2"/>
              <w:tabs>
                <w:tab w:val="center" w:pos="4560"/>
              </w:tabs>
              <w:rPr>
                <w:rFonts w:ascii="Arial" w:hAnsi="Arial"/>
              </w:rPr>
            </w:pPr>
            <w:r>
              <w:rPr>
                <w:rFonts w:ascii="Arial" w:hAnsi="Arial"/>
              </w:rPr>
              <w:t>Copyright ©2008</w:t>
            </w:r>
            <w:r w:rsidR="00590DD0">
              <w:rPr>
                <w:rFonts w:ascii="Arial" w:hAnsi="Arial"/>
              </w:rPr>
              <w:t xml:space="preserve"> </w:t>
            </w:r>
            <w:proofErr w:type="gramStart"/>
            <w:r w:rsidR="00590DD0">
              <w:rPr>
                <w:rFonts w:ascii="Arial" w:hAnsi="Arial"/>
              </w:rPr>
              <w:t>The</w:t>
            </w:r>
            <w:proofErr w:type="gramEnd"/>
            <w:r w:rsidR="00590DD0">
              <w:rPr>
                <w:rFonts w:ascii="Arial" w:hAnsi="Arial"/>
              </w:rPr>
              <w:t xml:space="preserv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F3151">
        <w:trPr>
          <w:cantSplit/>
        </w:trPr>
        <w:tc>
          <w:tcPr>
            <w:tcW w:w="9036" w:type="dxa"/>
            <w:gridSpan w:val="7"/>
          </w:tcPr>
          <w:p w:rsidR="005F3151" w:rsidRPr="003B3A02" w:rsidRDefault="005F3151" w:rsidP="00556EC0">
            <w:pPr>
              <w:pStyle w:val="Heading2"/>
              <w:tabs>
                <w:tab w:val="center" w:pos="4560"/>
              </w:tabs>
              <w:rPr>
                <w:rFonts w:ascii="Arial" w:hAnsi="Arial"/>
                <w:b w:val="0"/>
              </w:rPr>
            </w:pPr>
            <w:r>
              <w:rPr>
                <w:rFonts w:ascii="Arial" w:hAnsi="Arial"/>
                <w:b w:val="0"/>
              </w:rPr>
              <w:t>For additional information, please contact Penny Perrier, Chair</w:t>
            </w:r>
          </w:p>
        </w:tc>
      </w:tr>
      <w:tr w:rsidR="005F3151">
        <w:trPr>
          <w:cantSplit/>
        </w:trPr>
        <w:tc>
          <w:tcPr>
            <w:tcW w:w="9036" w:type="dxa"/>
            <w:gridSpan w:val="7"/>
          </w:tcPr>
          <w:p w:rsidR="005F3151" w:rsidRPr="003B3A02" w:rsidRDefault="005F3151" w:rsidP="00556EC0">
            <w:pPr>
              <w:pStyle w:val="Heading4"/>
              <w:jc w:val="center"/>
              <w:rPr>
                <w:b w:val="0"/>
                <w:bCs w:val="0"/>
              </w:rPr>
            </w:pPr>
            <w:smartTag w:uri="urn:schemas-microsoft-com:office:smarttags" w:element="place">
              <w:smartTag w:uri="urn:schemas-microsoft-com:office:smarttags" w:element="PlaceType">
                <w:r>
                  <w:rPr>
                    <w:b w:val="0"/>
                    <w:bCs w:val="0"/>
                  </w:rPr>
                  <w:t>School</w:t>
                </w:r>
              </w:smartTag>
              <w:r>
                <w:rPr>
                  <w:b w:val="0"/>
                  <w:bCs w:val="0"/>
                </w:rPr>
                <w:t xml:space="preserve"> of </w:t>
              </w:r>
              <w:smartTag w:uri="urn:schemas-microsoft-com:office:smarttags" w:element="PlaceName">
                <w:r>
                  <w:rPr>
                    <w:b w:val="0"/>
                    <w:bCs w:val="0"/>
                  </w:rPr>
                  <w:t>Continuing Education</w:t>
                </w:r>
              </w:smartTag>
            </w:smartTag>
            <w:r>
              <w:rPr>
                <w:b w:val="0"/>
                <w:bCs w:val="0"/>
              </w:rPr>
              <w:t>, Business and Hospitality</w:t>
            </w:r>
          </w:p>
        </w:tc>
      </w:tr>
      <w:tr w:rsidR="005F3151">
        <w:trPr>
          <w:cantSplit/>
        </w:trPr>
        <w:tc>
          <w:tcPr>
            <w:tcW w:w="9036" w:type="dxa"/>
            <w:gridSpan w:val="7"/>
          </w:tcPr>
          <w:p w:rsidR="005F3151" w:rsidRPr="003B3A02" w:rsidRDefault="005F3151" w:rsidP="00556EC0">
            <w:pPr>
              <w:tabs>
                <w:tab w:val="center" w:pos="4560"/>
              </w:tabs>
              <w:jc w:val="center"/>
              <w:rPr>
                <w:rFonts w:ascii="Arial" w:hAnsi="Arial"/>
              </w:rPr>
            </w:pPr>
            <w:r>
              <w:rPr>
                <w:rFonts w:ascii="Arial" w:hAnsi="Arial"/>
              </w:rPr>
              <w:t>(705) 759-2554, Ext. 2754</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r>
              <w:t>1.</w:t>
            </w:r>
          </w:p>
        </w:tc>
        <w:tc>
          <w:tcPr>
            <w:tcW w:w="7614" w:type="dxa"/>
          </w:tcPr>
          <w:p w:rsidR="00590DD0" w:rsidRDefault="00590DD0">
            <w:pPr>
              <w:pStyle w:val="EnvelopeReturn"/>
            </w:pPr>
            <w:r>
              <w:t>Communicate through written and verbal messages suitable for a business environment.</w:t>
            </w:r>
          </w:p>
          <w:p w:rsidR="00590DD0" w:rsidRDefault="00590DD0">
            <w:pPr>
              <w:pStyle w:val="EnvelopeReturn"/>
              <w:rPr>
                <w:rFonts w:ascii="Times New Roman" w:hAnsi="Times New Roman"/>
              </w:rPr>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rPr>
                <w:rFonts w:ascii="Times New Roman" w:hAnsi="Times New Roman"/>
              </w:rPr>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8"/>
              </w:numPr>
            </w:pPr>
            <w:r>
              <w:t>Understand the communication process</w:t>
            </w:r>
          </w:p>
          <w:p w:rsidR="00590DD0" w:rsidRDefault="00590DD0">
            <w:pPr>
              <w:pStyle w:val="EnvelopeReturn"/>
              <w:numPr>
                <w:ilvl w:val="0"/>
                <w:numId w:val="8"/>
              </w:numPr>
            </w:pPr>
            <w:r>
              <w:t>Adopt an audience-</w:t>
            </w:r>
            <w:proofErr w:type="spellStart"/>
            <w:r>
              <w:t>centred</w:t>
            </w:r>
            <w:proofErr w:type="spellEnd"/>
            <w:r>
              <w:t xml:space="preserve"> approach to communication</w:t>
            </w:r>
          </w:p>
          <w:p w:rsidR="00590DD0" w:rsidRDefault="00590DD0">
            <w:pPr>
              <w:pStyle w:val="EnvelopeReturn"/>
              <w:numPr>
                <w:ilvl w:val="0"/>
                <w:numId w:val="8"/>
              </w:numPr>
            </w:pPr>
            <w:r>
              <w:t>Apply appropriate sensitivity and ethics to the modern workplace communications</w:t>
            </w:r>
          </w:p>
          <w:p w:rsidR="000F66B6" w:rsidRDefault="000F66B6">
            <w:pPr>
              <w:pStyle w:val="EnvelopeReturn"/>
              <w:numPr>
                <w:ilvl w:val="0"/>
                <w:numId w:val="8"/>
              </w:numPr>
            </w:pPr>
            <w:r>
              <w:t>Communicate in teams</w:t>
            </w:r>
          </w:p>
          <w:p w:rsidR="000F66B6" w:rsidRDefault="000F66B6">
            <w:pPr>
              <w:pStyle w:val="EnvelopeReturn"/>
              <w:numPr>
                <w:ilvl w:val="0"/>
                <w:numId w:val="8"/>
              </w:numPr>
            </w:pPr>
            <w:r>
              <w:t>Master listening and nonverbal communication</w:t>
            </w:r>
          </w:p>
          <w:p w:rsidR="000F66B6" w:rsidRDefault="000F66B6">
            <w:pPr>
              <w:pStyle w:val="EnvelopeReturn"/>
              <w:numPr>
                <w:ilvl w:val="0"/>
                <w:numId w:val="8"/>
              </w:numPr>
            </w:pPr>
            <w:r>
              <w:t>Understand the opportunities and challenges of intercultural communication</w:t>
            </w:r>
          </w:p>
          <w:p w:rsidR="00590DD0" w:rsidRDefault="00590DD0" w:rsidP="00B06776">
            <w:pPr>
              <w:pStyle w:val="EnvelopeReturn"/>
              <w:rPr>
                <w:i/>
              </w:rPr>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r>
              <w:t>2.</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lastRenderedPageBreak/>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r>
              <w:t>3.</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36061">
            <w:pPr>
              <w:pStyle w:val="EnvelopeReturn"/>
              <w:numPr>
                <w:ilvl w:val="0"/>
                <w:numId w:val="14"/>
              </w:numPr>
            </w:pPr>
            <w:r>
              <w:t>Format e-mails</w:t>
            </w:r>
          </w:p>
          <w:p w:rsidR="00236061" w:rsidRDefault="00236061">
            <w:pPr>
              <w:pStyle w:val="EnvelopeReturn"/>
              <w:numPr>
                <w:ilvl w:val="0"/>
                <w:numId w:val="14"/>
              </w:numPr>
            </w:pPr>
            <w:r>
              <w:t>Improve e-mail and memo readability with listing techniques</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810FD5">
            <w:pPr>
              <w:pStyle w:val="EnvelopeReturn"/>
            </w:pPr>
            <w:r>
              <w:t>4</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810FD5">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ind w:left="360"/>
            </w:pPr>
          </w:p>
          <w:p w:rsidR="00810FD5" w:rsidRDefault="00810FD5" w:rsidP="002A38E1">
            <w:pPr>
              <w:pStyle w:val="EnvelopeReturn"/>
              <w:numPr>
                <w:ilvl w:val="0"/>
                <w:numId w:val="18"/>
              </w:numPr>
            </w:pPr>
            <w:r>
              <w:lastRenderedPageBreak/>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2.</w:t>
            </w:r>
          </w:p>
        </w:tc>
        <w:tc>
          <w:tcPr>
            <w:tcW w:w="7614" w:type="dxa"/>
          </w:tcPr>
          <w:p w:rsidR="00590DD0" w:rsidRDefault="002A38E1">
            <w:pPr>
              <w:pStyle w:val="EnvelopeReturn"/>
            </w:pPr>
            <w:r>
              <w:t>Communicating in Teams and Mastering Listening and Nonverbal Communication</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3.</w:t>
            </w:r>
          </w:p>
        </w:tc>
        <w:tc>
          <w:tcPr>
            <w:tcW w:w="7614" w:type="dxa"/>
          </w:tcPr>
          <w:p w:rsidR="00590DD0" w:rsidRDefault="002A38E1">
            <w:pPr>
              <w:pStyle w:val="EnvelopeReturn"/>
            </w:pPr>
            <w:r>
              <w:t xml:space="preserve">Communicating </w:t>
            </w:r>
            <w:proofErr w:type="spellStart"/>
            <w:r>
              <w:t>Interculturally</w:t>
            </w:r>
            <w:proofErr w:type="spellEnd"/>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4.</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DE3362">
            <w:pPr>
              <w:pStyle w:val="EnvelopeReturn"/>
              <w:jc w:val="right"/>
            </w:pPr>
            <w:r>
              <w:t>5.</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6.</w:t>
            </w:r>
          </w:p>
        </w:tc>
        <w:tc>
          <w:tcPr>
            <w:tcW w:w="7614" w:type="dxa"/>
          </w:tcPr>
          <w:p w:rsidR="00590DD0" w:rsidRDefault="00487C06">
            <w:pPr>
              <w:pStyle w:val="EnvelopeReturn"/>
            </w:pPr>
            <w:r>
              <w:t>Completing Business Messages</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7.</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8.</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9.</w:t>
            </w:r>
          </w:p>
        </w:tc>
        <w:tc>
          <w:tcPr>
            <w:tcW w:w="7614" w:type="dxa"/>
          </w:tcPr>
          <w:p w:rsidR="00590DD0" w:rsidRDefault="00487C06">
            <w:pPr>
              <w:pStyle w:val="EnvelopeReturn"/>
            </w:pPr>
            <w:r>
              <w:t>Writing Persuasive Messages</w:t>
            </w: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10.</w:t>
            </w:r>
          </w:p>
        </w:tc>
        <w:tc>
          <w:tcPr>
            <w:tcW w:w="7614" w:type="dxa"/>
          </w:tcPr>
          <w:p w:rsidR="00590DD0" w:rsidRDefault="00487C06">
            <w:pPr>
              <w:pStyle w:val="EnvelopeReturn"/>
            </w:pPr>
            <w:r>
              <w:t>Planning Reports and Oral Presentations</w:t>
            </w:r>
          </w:p>
        </w:tc>
      </w:tr>
      <w:tr w:rsidR="00590DD0">
        <w:tc>
          <w:tcPr>
            <w:tcW w:w="675" w:type="dxa"/>
          </w:tcPr>
          <w:p w:rsidR="00590DD0" w:rsidRDefault="00590DD0">
            <w:pPr>
              <w:pStyle w:val="EnvelopeReturn"/>
            </w:pPr>
          </w:p>
        </w:tc>
        <w:tc>
          <w:tcPr>
            <w:tcW w:w="567" w:type="dxa"/>
          </w:tcPr>
          <w:p w:rsidR="00590DD0" w:rsidRDefault="00590DD0">
            <w:pPr>
              <w:pStyle w:val="EnvelopeReturn"/>
            </w:pPr>
            <w:r>
              <w:t>11.</w:t>
            </w:r>
          </w:p>
        </w:tc>
        <w:tc>
          <w:tcPr>
            <w:tcW w:w="7614" w:type="dxa"/>
          </w:tcPr>
          <w:p w:rsidR="00590DD0" w:rsidRDefault="00487C06">
            <w:pPr>
              <w:pStyle w:val="EnvelopeReturn"/>
            </w:pPr>
            <w:r>
              <w:t>Writing Reports and Proposals</w:t>
            </w:r>
          </w:p>
        </w:tc>
      </w:tr>
      <w:tr w:rsidR="00590DD0">
        <w:tc>
          <w:tcPr>
            <w:tcW w:w="675" w:type="dxa"/>
          </w:tcPr>
          <w:p w:rsidR="00590DD0" w:rsidRDefault="00590DD0">
            <w:pPr>
              <w:pStyle w:val="EnvelopeReturn"/>
            </w:pPr>
          </w:p>
        </w:tc>
        <w:tc>
          <w:tcPr>
            <w:tcW w:w="567" w:type="dxa"/>
          </w:tcPr>
          <w:p w:rsidR="00590DD0" w:rsidRDefault="00590DD0">
            <w:pPr>
              <w:pStyle w:val="EnvelopeReturn"/>
            </w:pPr>
            <w:r>
              <w:t>12.</w:t>
            </w:r>
          </w:p>
        </w:tc>
        <w:tc>
          <w:tcPr>
            <w:tcW w:w="7614" w:type="dxa"/>
          </w:tcPr>
          <w:p w:rsidR="00590DD0" w:rsidRDefault="00487C06">
            <w:pPr>
              <w:pStyle w:val="EnvelopeReturn"/>
            </w:pPr>
            <w:r>
              <w:t>Completing Reports and Proposals</w:t>
            </w:r>
          </w:p>
        </w:tc>
      </w:tr>
      <w:tr w:rsidR="00487C06">
        <w:tc>
          <w:tcPr>
            <w:tcW w:w="675" w:type="dxa"/>
          </w:tcPr>
          <w:p w:rsidR="00487C06" w:rsidRDefault="00487C06">
            <w:pPr>
              <w:pStyle w:val="EnvelopeReturn"/>
            </w:pPr>
          </w:p>
        </w:tc>
        <w:tc>
          <w:tcPr>
            <w:tcW w:w="567" w:type="dxa"/>
          </w:tcPr>
          <w:p w:rsidR="00487C06" w:rsidRDefault="00487C06">
            <w:pPr>
              <w:pStyle w:val="EnvelopeReturn"/>
            </w:pPr>
            <w:r>
              <w:t>13.</w:t>
            </w:r>
          </w:p>
        </w:tc>
        <w:tc>
          <w:tcPr>
            <w:tcW w:w="7614" w:type="dxa"/>
          </w:tcPr>
          <w:p w:rsidR="00487C06" w:rsidRDefault="00487C06">
            <w:pPr>
              <w:pStyle w:val="EnvelopeReturn"/>
            </w:pPr>
            <w:r>
              <w:t>Planning, Writing, and Completing Oral Presentations</w:t>
            </w:r>
          </w:p>
        </w:tc>
      </w:tr>
    </w:tbl>
    <w:p w:rsidR="00590DD0" w:rsidRDefault="00590DD0"/>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Pr>
                <w:u w:val="single"/>
              </w:rPr>
              <w:t>Third</w:t>
            </w:r>
            <w:r w:rsidR="00747589">
              <w:rPr>
                <w:u w:val="single"/>
              </w:rPr>
              <w:t xml:space="preserve"> Canadian Edition</w:t>
            </w:r>
            <w:r w:rsidR="00747589">
              <w:t xml:space="preserve">.  </w:t>
            </w:r>
            <w:r>
              <w:t xml:space="preserve">John V. </w:t>
            </w:r>
            <w:proofErr w:type="spellStart"/>
            <w:r>
              <w:t>Thill</w:t>
            </w:r>
            <w:proofErr w:type="spellEnd"/>
            <w:r>
              <w:t xml:space="preserve">, Courtland L. </w:t>
            </w:r>
            <w:proofErr w:type="spellStart"/>
            <w:r>
              <w:t>Bovee</w:t>
            </w:r>
            <w:proofErr w:type="spellEnd"/>
            <w:r>
              <w:t>, Ava Cross</w:t>
            </w:r>
            <w:r w:rsidR="00747589">
              <w:t xml:space="preserve">.  </w:t>
            </w:r>
            <w:r>
              <w:t>Pearson Prentice Hall, 2009</w:t>
            </w:r>
            <w:r w:rsidR="00747589">
              <w:t xml:space="preserve">.  ISBN  </w:t>
            </w:r>
            <w:r>
              <w:t>0-13-239670-X</w:t>
            </w:r>
          </w:p>
          <w:p w:rsidR="00590DD0" w:rsidRDefault="00590DD0">
            <w:pPr>
              <w:pStyle w:val="EnvelopeReturn"/>
            </w:pPr>
          </w:p>
          <w:p w:rsidR="00590DD0" w:rsidRDefault="00590DD0">
            <w:pPr>
              <w:pStyle w:val="EnvelopeReturn"/>
            </w:pPr>
            <w:smartTag w:uri="urn:schemas-microsoft-com:office:smarttags" w:element="City">
              <w:smartTag w:uri="urn:schemas-microsoft-com:office:smarttags" w:element="place">
                <w:r>
                  <w:t>Manila</w:t>
                </w:r>
              </w:smartTag>
            </w:smartTag>
            <w:r>
              <w:t xml:space="preserve">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lastRenderedPageBreak/>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90DD0">
            <w:pPr>
              <w:pStyle w:val="EnvelopeReturn"/>
            </w:pPr>
            <w:r>
              <w:t>Three Tests:</w:t>
            </w:r>
          </w:p>
          <w:p w:rsidR="00590DD0" w:rsidRDefault="00590DD0">
            <w:pPr>
              <w:pStyle w:val="EnvelopeReturn"/>
              <w:rPr>
                <w:b/>
              </w:rPr>
            </w:pPr>
          </w:p>
          <w:p w:rsidR="00590DD0" w:rsidRDefault="00590DD0" w:rsidP="000749A9">
            <w:pPr>
              <w:pStyle w:val="EnvelopeReturn"/>
              <w:tabs>
                <w:tab w:val="right" w:leader="dot" w:pos="7875"/>
              </w:tabs>
            </w:pPr>
            <w:r>
              <w:t>Test #1</w:t>
            </w:r>
            <w:r>
              <w:tab/>
            </w:r>
            <w:r w:rsidR="007802FA">
              <w:rPr>
                <w:b/>
              </w:rPr>
              <w:t>20</w:t>
            </w:r>
            <w:r>
              <w:rPr>
                <w:b/>
              </w:rPr>
              <w:t>%</w:t>
            </w:r>
          </w:p>
          <w:p w:rsidR="00590DD0" w:rsidRDefault="00590DD0" w:rsidP="000749A9">
            <w:pPr>
              <w:pStyle w:val="EnvelopeReturn"/>
              <w:tabs>
                <w:tab w:val="right" w:leader="dot" w:pos="7875"/>
              </w:tabs>
              <w:rPr>
                <w:b/>
                <w:bCs/>
              </w:rPr>
            </w:pPr>
            <w:r>
              <w:t xml:space="preserve">Test #2 </w:t>
            </w:r>
            <w:r>
              <w:tab/>
            </w:r>
            <w:r w:rsidR="000749A9">
              <w:rPr>
                <w:b/>
                <w:bCs/>
              </w:rPr>
              <w:t>3</w:t>
            </w:r>
            <w:r w:rsidR="007802FA">
              <w:rPr>
                <w:b/>
                <w:bCs/>
              </w:rPr>
              <w:t>0</w:t>
            </w:r>
            <w:r>
              <w:rPr>
                <w:b/>
                <w:bCs/>
              </w:rPr>
              <w:t>%</w:t>
            </w:r>
          </w:p>
          <w:p w:rsidR="00590DD0" w:rsidRDefault="00590DD0">
            <w:pPr>
              <w:pStyle w:val="EnvelopeReturn"/>
              <w:tabs>
                <w:tab w:val="right" w:leader="dot" w:pos="7875"/>
              </w:tabs>
              <w:rPr>
                <w:b/>
                <w:bCs/>
              </w:rPr>
            </w:pPr>
            <w:r>
              <w:t>Test #3</w:t>
            </w:r>
            <w:r>
              <w:tab/>
            </w:r>
            <w:r w:rsidR="00487C06">
              <w:rPr>
                <w:b/>
                <w:bCs/>
              </w:rPr>
              <w:t>30</w:t>
            </w:r>
            <w:r>
              <w:rPr>
                <w:b/>
                <w:bCs/>
              </w:rPr>
              <w:t>%</w:t>
            </w:r>
          </w:p>
          <w:p w:rsidR="00487C06" w:rsidRPr="00487C06" w:rsidRDefault="00487C06" w:rsidP="000749A9">
            <w:pPr>
              <w:pStyle w:val="EnvelopeReturn"/>
              <w:tabs>
                <w:tab w:val="right" w:leader="dot" w:pos="7876"/>
              </w:tabs>
            </w:pPr>
            <w:r w:rsidRPr="00487C06">
              <w:rPr>
                <w:bCs/>
              </w:rPr>
              <w:t>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0" w:type="auto"/>
        <w:tblLayout w:type="fixed"/>
        <w:tblLook w:val="0000"/>
      </w:tblPr>
      <w:tblGrid>
        <w:gridCol w:w="675"/>
        <w:gridCol w:w="1701"/>
        <w:gridCol w:w="4678"/>
        <w:gridCol w:w="1802"/>
      </w:tblGrid>
      <w:tr w:rsidR="00590DD0">
        <w:tc>
          <w:tcPr>
            <w:tcW w:w="675" w:type="dxa"/>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tc>
        <w:tc>
          <w:tcPr>
            <w:tcW w:w="1802" w:type="dxa"/>
          </w:tcPr>
          <w:p w:rsidR="00590DD0" w:rsidRDefault="00590DD0">
            <w:pPr>
              <w:jc w:val="center"/>
              <w:rPr>
                <w:rFonts w:ascii="Arial" w:hAnsi="Arial"/>
              </w:rPr>
            </w:pPr>
          </w:p>
        </w:tc>
      </w:tr>
    </w:tbl>
    <w:p w:rsidR="00590DD0" w:rsidRDefault="00590DD0"/>
    <w:p w:rsidR="00A6333A" w:rsidRDefault="00A6333A"/>
    <w:p w:rsidR="00A6333A" w:rsidRDefault="00A6333A"/>
    <w:p w:rsidR="00A6333A" w:rsidRDefault="00A6333A"/>
    <w:tbl>
      <w:tblPr>
        <w:tblW w:w="0" w:type="auto"/>
        <w:tblLayout w:type="fixed"/>
        <w:tblLook w:val="0000"/>
      </w:tblPr>
      <w:tblGrid>
        <w:gridCol w:w="675"/>
        <w:gridCol w:w="8181"/>
      </w:tblGrid>
      <w:tr w:rsidR="00A6333A" w:rsidTr="00934A83">
        <w:trPr>
          <w:cantSplit/>
        </w:trPr>
        <w:tc>
          <w:tcPr>
            <w:tcW w:w="675" w:type="dxa"/>
          </w:tcPr>
          <w:p w:rsidR="00A6333A" w:rsidRDefault="00A6333A" w:rsidP="00934A83">
            <w:pPr>
              <w:rPr>
                <w:rFonts w:ascii="Arial" w:hAnsi="Arial"/>
                <w:b/>
              </w:rPr>
            </w:pPr>
            <w:r>
              <w:lastRenderedPageBreak/>
              <w:br w:type="page"/>
            </w:r>
            <w:r>
              <w:rPr>
                <w:rFonts w:ascii="Arial" w:hAnsi="Arial"/>
                <w:b/>
              </w:rPr>
              <w:t>VI.</w:t>
            </w:r>
          </w:p>
        </w:tc>
        <w:tc>
          <w:tcPr>
            <w:tcW w:w="8181" w:type="dxa"/>
          </w:tcPr>
          <w:p w:rsidR="00A6333A" w:rsidRPr="00932D5F" w:rsidRDefault="00A6333A" w:rsidP="00934A83">
            <w:pPr>
              <w:rPr>
                <w:rFonts w:ascii="Arial" w:hAnsi="Arial"/>
                <w:b/>
              </w:rPr>
            </w:pPr>
            <w:r w:rsidRPr="00932D5F">
              <w:rPr>
                <w:rFonts w:ascii="Arial" w:hAnsi="Arial"/>
                <w:b/>
              </w:rPr>
              <w:t>SPECIAL NOTES: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u w:val="single"/>
              </w:rPr>
              <w:t>Disability Services</w:t>
            </w:r>
            <w:r>
              <w:rPr>
                <w:rFonts w:ascii="Arial" w:hAnsi="Arial"/>
              </w:rPr>
              <w:t>:</w:t>
            </w:r>
          </w:p>
          <w:p w:rsidR="00A6333A" w:rsidRDefault="00A6333A" w:rsidP="00934A83">
            <w:pPr>
              <w:rPr>
                <w:rFonts w:ascii="Arial" w:hAnsi="Arial"/>
              </w:rPr>
            </w:pPr>
            <w:r>
              <w:rPr>
                <w:rFonts w:ascii="Arial" w:hAnsi="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u w:val="single"/>
              </w:rPr>
              <w:t>Retention of Course Outlines</w:t>
            </w:r>
            <w:r>
              <w:rPr>
                <w:rFonts w:ascii="Arial" w:hAnsi="Arial"/>
              </w:rPr>
              <w:t>:</w:t>
            </w:r>
          </w:p>
          <w:p w:rsidR="00A6333A" w:rsidRDefault="00A6333A" w:rsidP="00934A83">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u w:val="single"/>
              </w:rPr>
            </w:pPr>
            <w:r>
              <w:rPr>
                <w:rFonts w:ascii="Arial" w:hAnsi="Arial"/>
                <w:u w:val="single"/>
              </w:rPr>
              <w:t>Communication:</w:t>
            </w:r>
          </w:p>
          <w:p w:rsidR="00A6333A" w:rsidRDefault="00A6333A" w:rsidP="00934A83">
            <w:pPr>
              <w:rPr>
                <w:rFonts w:ascii="Arial" w:hAnsi="Arial"/>
              </w:rPr>
            </w:pPr>
            <w:r>
              <w:rPr>
                <w:rFonts w:ascii="Arial" w:hAnsi="Arial"/>
              </w:rPr>
              <w:t xml:space="preserve">The College considers </w:t>
            </w:r>
            <w:proofErr w:type="spellStart"/>
            <w:r w:rsidRPr="00AD41C5">
              <w:rPr>
                <w:rFonts w:ascii="Arial" w:hAnsi="Arial"/>
                <w:b/>
                <w:i/>
              </w:rPr>
              <w:t>WebCT</w:t>
            </w:r>
            <w:proofErr w:type="spellEnd"/>
            <w:r w:rsidRPr="00AD41C5">
              <w:rPr>
                <w:rFonts w:ascii="Arial" w:hAnsi="Arial"/>
                <w:b/>
                <w:i/>
              </w:rPr>
              <w:t>/</w:t>
            </w:r>
            <w:proofErr w:type="spellStart"/>
            <w:r w:rsidRPr="00AD41C5">
              <w:rPr>
                <w:rFonts w:ascii="Arial" w:hAnsi="Arial"/>
                <w:b/>
                <w:i/>
              </w:rPr>
              <w:t>LMS</w:t>
            </w:r>
            <w:proofErr w:type="spellEnd"/>
            <w:r>
              <w:rPr>
                <w:rFonts w:ascii="Arial" w:hAnsi="Arial"/>
              </w:rPr>
              <w:t xml:space="preserve">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61AA2">
              <w:rPr>
                <w:rFonts w:ascii="Arial" w:hAnsi="Arial"/>
                <w:b/>
              </w:rPr>
              <w:t>Learning Management System</w:t>
            </w:r>
            <w:r>
              <w:rPr>
                <w:rFonts w:ascii="Arial" w:hAnsi="Arial"/>
              </w:rPr>
              <w:t xml:space="preserve"> communication tool. </w:t>
            </w:r>
          </w:p>
          <w:p w:rsidR="00A6333A" w:rsidRPr="00A61AA2"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u w:val="single"/>
              </w:rPr>
            </w:pPr>
            <w:r>
              <w:rPr>
                <w:rFonts w:ascii="Arial" w:hAnsi="Arial"/>
                <w:u w:val="single"/>
              </w:rPr>
              <w:t>Plagiarism:</w:t>
            </w:r>
          </w:p>
          <w:p w:rsidR="00A6333A" w:rsidRDefault="00A6333A" w:rsidP="00934A83">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u w:val="single"/>
              </w:rPr>
              <w:t>Course Outline Amendments</w:t>
            </w:r>
            <w:r>
              <w:rPr>
                <w:rFonts w:ascii="Arial" w:hAnsi="Arial"/>
              </w:rPr>
              <w:t>:</w:t>
            </w:r>
          </w:p>
          <w:p w:rsidR="00A6333A" w:rsidRDefault="00A6333A" w:rsidP="00934A83">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Substitute course information is available in the Registrar's office.</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Students are expected to demonstrate respect for others in the class.  Classroom disturbances will be dealt with through an escalating procedure as follows:</w:t>
            </w:r>
          </w:p>
          <w:p w:rsidR="00A6333A" w:rsidRDefault="00A6333A" w:rsidP="00934A83">
            <w:pPr>
              <w:rPr>
                <w:rFonts w:ascii="Arial" w:hAnsi="Arial"/>
              </w:rPr>
            </w:pPr>
          </w:p>
          <w:p w:rsidR="00A6333A" w:rsidRDefault="00A6333A" w:rsidP="00934A83">
            <w:pPr>
              <w:numPr>
                <w:ilvl w:val="0"/>
                <w:numId w:val="21"/>
              </w:numPr>
              <w:rPr>
                <w:rFonts w:ascii="Arial" w:hAnsi="Arial"/>
              </w:rPr>
            </w:pPr>
            <w:r>
              <w:rPr>
                <w:rFonts w:ascii="Arial" w:hAnsi="Arial"/>
              </w:rPr>
              <w:t>Verbal warning</w:t>
            </w:r>
          </w:p>
          <w:p w:rsidR="00A6333A" w:rsidRDefault="00A6333A" w:rsidP="00934A83">
            <w:pPr>
              <w:numPr>
                <w:ilvl w:val="0"/>
                <w:numId w:val="21"/>
              </w:numPr>
              <w:rPr>
                <w:rFonts w:ascii="Arial" w:hAnsi="Arial"/>
              </w:rPr>
            </w:pPr>
            <w:r>
              <w:rPr>
                <w:rFonts w:ascii="Arial" w:hAnsi="Arial"/>
              </w:rPr>
              <w:t>E-mail notification</w:t>
            </w:r>
          </w:p>
          <w:p w:rsidR="00A6333A" w:rsidRDefault="00A6333A" w:rsidP="00934A83">
            <w:pPr>
              <w:numPr>
                <w:ilvl w:val="0"/>
                <w:numId w:val="21"/>
              </w:numPr>
              <w:rPr>
                <w:rFonts w:ascii="Arial" w:hAnsi="Arial"/>
              </w:rPr>
            </w:pPr>
            <w:r>
              <w:rPr>
                <w:rFonts w:ascii="Arial" w:hAnsi="Arial"/>
              </w:rPr>
              <w:t>Meeting with the Dean</w:t>
            </w:r>
          </w:p>
          <w:p w:rsidR="00A6333A" w:rsidRDefault="00A6333A" w:rsidP="00934A83">
            <w:pPr>
              <w:ind w:left="360"/>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 xml:space="preserve">Students are expected to be present to write all tests during regularly scheduled classes.  </w:t>
            </w:r>
          </w:p>
          <w:p w:rsidR="00A6333A" w:rsidRDefault="00A6333A" w:rsidP="00934A83">
            <w:pPr>
              <w:rPr>
                <w:rFonts w:ascii="Arial" w:hAnsi="Arial"/>
              </w:rPr>
            </w:pPr>
          </w:p>
          <w:p w:rsidR="00A6333A" w:rsidRDefault="00A6333A" w:rsidP="00934A83">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w:t>
            </w:r>
            <w:proofErr w:type="spellStart"/>
            <w:r>
              <w:rPr>
                <w:rFonts w:ascii="Arial" w:hAnsi="Arial"/>
              </w:rPr>
              <w:t>cd</w:t>
            </w:r>
            <w:proofErr w:type="spellEnd"/>
            <w:r>
              <w:rPr>
                <w:rFonts w:ascii="Arial" w:hAnsi="Arial"/>
              </w:rPr>
              <w:t xml:space="preserve"> containing completed daily work MUST be available prior to writing the test if requested by the professor.</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Tests will not be “open book.”  Students must ensure that they have the appropriate tools to do the test (i.e. diskettes, pencil, pen, etc.).</w:t>
            </w:r>
          </w:p>
          <w:p w:rsidR="00A6333A" w:rsidRDefault="00A6333A" w:rsidP="00934A83">
            <w:pPr>
              <w:rPr>
                <w:rFonts w:ascii="Arial" w:hAnsi="Arial"/>
              </w:rPr>
            </w:pPr>
          </w:p>
          <w:p w:rsidR="00A6333A" w:rsidRDefault="00A6333A" w:rsidP="00934A83">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Producing accurate work is fundamental to this course.  Marks will be deducted for inaccuracies.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A6333A" w:rsidRPr="00150818"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b/>
              </w:rPr>
            </w:pPr>
            <w:r>
              <w:rPr>
                <w:rFonts w:ascii="Arial" w:hAnsi="Arial"/>
                <w:b/>
              </w:rPr>
              <w:t>VII.</w:t>
            </w:r>
          </w:p>
        </w:tc>
        <w:tc>
          <w:tcPr>
            <w:tcW w:w="8181" w:type="dxa"/>
          </w:tcPr>
          <w:p w:rsidR="00A6333A" w:rsidRDefault="00A6333A" w:rsidP="00934A83">
            <w:pPr>
              <w:rPr>
                <w:rFonts w:ascii="Arial" w:hAnsi="Arial"/>
                <w:b/>
              </w:rPr>
            </w:pPr>
            <w:r>
              <w:rPr>
                <w:rFonts w:ascii="Arial" w:hAnsi="Arial"/>
                <w:b/>
              </w:rPr>
              <w:t>PRIOR LEARNING ASSESSMENT:</w:t>
            </w:r>
          </w:p>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r>
              <w:rPr>
                <w:rFonts w:ascii="Arial" w:hAnsi="Arial"/>
              </w:rPr>
              <w:t>Students who wish to apply for advanced credit in the course should consult the professor.  Credit for prior learning will be given upon successful completion of a challenge exam or portfolio.</w:t>
            </w:r>
          </w:p>
        </w:tc>
      </w:tr>
      <w:tr w:rsidR="00A6333A" w:rsidTr="00934A83">
        <w:trPr>
          <w:cantSplit/>
        </w:trPr>
        <w:tc>
          <w:tcPr>
            <w:tcW w:w="675" w:type="dxa"/>
          </w:tcPr>
          <w:p w:rsidR="00A6333A" w:rsidRDefault="00A6333A" w:rsidP="00934A83">
            <w:pPr>
              <w:rPr>
                <w:rFonts w:ascii="Arial" w:hAnsi="Arial"/>
              </w:rPr>
            </w:pPr>
          </w:p>
        </w:tc>
        <w:tc>
          <w:tcPr>
            <w:tcW w:w="8181" w:type="dxa"/>
          </w:tcPr>
          <w:p w:rsidR="00A6333A" w:rsidRDefault="00A6333A" w:rsidP="00934A83">
            <w:pPr>
              <w:rPr>
                <w:rFonts w:ascii="Arial" w:hAnsi="Arial"/>
              </w:rPr>
            </w:pPr>
          </w:p>
        </w:tc>
      </w:tr>
      <w:tr w:rsidR="00A6333A" w:rsidTr="00934A83">
        <w:trPr>
          <w:cantSplit/>
        </w:trPr>
        <w:tc>
          <w:tcPr>
            <w:tcW w:w="675" w:type="dxa"/>
          </w:tcPr>
          <w:p w:rsidR="00A6333A" w:rsidRDefault="00A6333A" w:rsidP="00934A83">
            <w:pPr>
              <w:rPr>
                <w:rFonts w:ascii="Arial" w:hAnsi="Arial"/>
                <w:b/>
              </w:rPr>
            </w:pPr>
            <w:r>
              <w:rPr>
                <w:rFonts w:ascii="Arial" w:hAnsi="Arial"/>
                <w:b/>
              </w:rPr>
              <w:t>VIII.</w:t>
            </w:r>
          </w:p>
        </w:tc>
        <w:tc>
          <w:tcPr>
            <w:tcW w:w="8181" w:type="dxa"/>
          </w:tcPr>
          <w:p w:rsidR="00A6333A" w:rsidRDefault="00A6333A" w:rsidP="00934A83">
            <w:pPr>
              <w:rPr>
                <w:rFonts w:ascii="Arial" w:hAnsi="Arial"/>
                <w:b/>
              </w:rPr>
            </w:pPr>
            <w:r>
              <w:rPr>
                <w:rFonts w:ascii="Arial" w:hAnsi="Arial"/>
                <w:b/>
              </w:rPr>
              <w:t>ADVANCE CREDIT TRANSFERS:</w:t>
            </w:r>
          </w:p>
          <w:p w:rsidR="00A6333A" w:rsidRDefault="00A6333A" w:rsidP="00934A83">
            <w:pPr>
              <w:rPr>
                <w:rFonts w:ascii="Arial" w:hAnsi="Arial"/>
                <w:b/>
              </w:rPr>
            </w:pPr>
          </w:p>
          <w:p w:rsidR="00A6333A" w:rsidRDefault="00A6333A" w:rsidP="00934A83">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 transcript and course outline related to the course in question.</w:t>
            </w:r>
          </w:p>
          <w:p w:rsidR="00A6333A" w:rsidRDefault="00A6333A" w:rsidP="00934A83">
            <w:pPr>
              <w:rPr>
                <w:rFonts w:ascii="Arial" w:hAnsi="Arial"/>
              </w:rPr>
            </w:pPr>
          </w:p>
        </w:tc>
      </w:tr>
    </w:tbl>
    <w:p w:rsidR="00590DD0" w:rsidRDefault="00590DD0">
      <w:pPr>
        <w:pStyle w:val="EnvelopeReturn"/>
        <w:rPr>
          <w:rFonts w:ascii="Times New Roman" w:hAnsi="Times New Roman"/>
        </w:rPr>
      </w:pPr>
    </w:p>
    <w:sectPr w:rsidR="00590DD0" w:rsidSect="00E22331">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6CE" w:rsidRDefault="002156CE">
      <w:r>
        <w:separator/>
      </w:r>
    </w:p>
  </w:endnote>
  <w:endnote w:type="continuationSeparator" w:id="1">
    <w:p w:rsidR="002156CE" w:rsidRDefault="002156CE">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6CE" w:rsidRDefault="002156CE">
      <w:r>
        <w:separator/>
      </w:r>
    </w:p>
  </w:footnote>
  <w:footnote w:type="continuationSeparator" w:id="1">
    <w:p w:rsidR="002156CE" w:rsidRDefault="00215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85B" w:rsidRDefault="00A32BC8">
    <w:pPr>
      <w:pStyle w:val="Header"/>
      <w:framePr w:wrap="around" w:vAnchor="text" w:hAnchor="margin" w:xAlign="center" w:y="1"/>
      <w:rPr>
        <w:rStyle w:val="PageNumber"/>
      </w:rPr>
    </w:pPr>
    <w:r>
      <w:rPr>
        <w:rStyle w:val="PageNumber"/>
      </w:rPr>
      <w:fldChar w:fldCharType="begin"/>
    </w:r>
    <w:r w:rsidR="0066785B">
      <w:rPr>
        <w:rStyle w:val="PageNumber"/>
      </w:rPr>
      <w:instrText xml:space="preserve">PAGE  </w:instrText>
    </w:r>
    <w:r>
      <w:rPr>
        <w:rStyle w:val="PageNumber"/>
      </w:rPr>
      <w:fldChar w:fldCharType="separate"/>
    </w:r>
    <w:r w:rsidR="0066785B">
      <w:rPr>
        <w:rStyle w:val="PageNumber"/>
        <w:noProof/>
      </w:rPr>
      <w:t>8</w:t>
    </w:r>
    <w:r>
      <w:rPr>
        <w:rStyle w:val="PageNumber"/>
      </w:rPr>
      <w:fldChar w:fldCharType="end"/>
    </w:r>
  </w:p>
  <w:p w:rsidR="0066785B" w:rsidRDefault="00667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85B" w:rsidRDefault="00A32BC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66785B">
      <w:rPr>
        <w:rStyle w:val="PageNumber"/>
        <w:rFonts w:ascii="Arial" w:hAnsi="Arial" w:cs="Arial"/>
      </w:rPr>
      <w:instrText xml:space="preserve">PAGE  </w:instrText>
    </w:r>
    <w:r>
      <w:rPr>
        <w:rStyle w:val="PageNumber"/>
        <w:rFonts w:ascii="Arial" w:hAnsi="Arial" w:cs="Arial"/>
      </w:rPr>
      <w:fldChar w:fldCharType="separate"/>
    </w:r>
    <w:r w:rsidR="00247AA4">
      <w:rPr>
        <w:rStyle w:val="PageNumber"/>
        <w:rFonts w:ascii="Arial" w:hAnsi="Arial" w:cs="Arial"/>
        <w:noProof/>
      </w:rPr>
      <w:t>8</w:t>
    </w:r>
    <w:r>
      <w:rPr>
        <w:rStyle w:val="PageNumber"/>
        <w:rFonts w:ascii="Arial" w:hAnsi="Arial" w:cs="Arial"/>
      </w:rPr>
      <w:fldChar w:fldCharType="end"/>
    </w:r>
  </w:p>
  <w:tbl>
    <w:tblPr>
      <w:tblW w:w="0" w:type="auto"/>
      <w:tblLayout w:type="fixed"/>
      <w:tblLook w:val="0000"/>
    </w:tblPr>
    <w:tblGrid>
      <w:gridCol w:w="3794"/>
      <w:gridCol w:w="1134"/>
      <w:gridCol w:w="3928"/>
    </w:tblGrid>
    <w:tr w:rsidR="0066785B">
      <w:tc>
        <w:tcPr>
          <w:tcW w:w="3794" w:type="dxa"/>
        </w:tcPr>
        <w:p w:rsidR="0066785B" w:rsidRDefault="0066785B">
          <w:pPr>
            <w:rPr>
              <w:rFonts w:ascii="Arial" w:hAnsi="Arial"/>
              <w:bCs/>
              <w:snapToGrid w:val="0"/>
            </w:rPr>
          </w:pPr>
          <w:r>
            <w:rPr>
              <w:rFonts w:ascii="Arial" w:hAnsi="Arial"/>
              <w:bCs/>
              <w:snapToGrid w:val="0"/>
            </w:rPr>
            <w:t>APPLIED OFFICE COMMUNICATIONS II</w:t>
          </w:r>
        </w:p>
      </w:tc>
      <w:tc>
        <w:tcPr>
          <w:tcW w:w="1134" w:type="dxa"/>
        </w:tcPr>
        <w:p w:rsidR="0066785B" w:rsidRDefault="0066785B">
          <w:pPr>
            <w:pStyle w:val="Header"/>
            <w:jc w:val="center"/>
            <w:rPr>
              <w:rFonts w:ascii="Arial" w:hAnsi="Arial"/>
              <w:bCs/>
              <w:snapToGrid w:val="0"/>
            </w:rPr>
          </w:pPr>
        </w:p>
      </w:tc>
      <w:tc>
        <w:tcPr>
          <w:tcW w:w="3928" w:type="dxa"/>
        </w:tcPr>
        <w:p w:rsidR="0066785B" w:rsidRDefault="0066785B">
          <w:pPr>
            <w:pStyle w:val="Header"/>
            <w:jc w:val="right"/>
            <w:rPr>
              <w:rFonts w:ascii="Arial" w:hAnsi="Arial"/>
              <w:bCs/>
              <w:snapToGrid w:val="0"/>
            </w:rPr>
          </w:pPr>
          <w:r>
            <w:rPr>
              <w:rFonts w:ascii="Arial" w:hAnsi="Arial"/>
              <w:bCs/>
              <w:snapToGrid w:val="0"/>
            </w:rPr>
            <w:t>OAD110</w:t>
          </w:r>
        </w:p>
      </w:tc>
    </w:tr>
    <w:tr w:rsidR="0066785B">
      <w:tc>
        <w:tcPr>
          <w:tcW w:w="3794" w:type="dxa"/>
        </w:tcPr>
        <w:p w:rsidR="0066785B" w:rsidRDefault="0066785B">
          <w:pPr>
            <w:rPr>
              <w:rFonts w:ascii="Arial" w:hAnsi="Arial"/>
              <w:snapToGrid w:val="0"/>
            </w:rPr>
          </w:pPr>
          <w:r>
            <w:rPr>
              <w:rFonts w:ascii="Arial" w:hAnsi="Arial"/>
              <w:snapToGrid w:val="0"/>
            </w:rPr>
            <w:t>_____________________</w:t>
          </w:r>
        </w:p>
        <w:p w:rsidR="0066785B" w:rsidRDefault="0066785B">
          <w:pPr>
            <w:rPr>
              <w:rFonts w:ascii="Arial" w:hAnsi="Arial"/>
              <w:snapToGrid w:val="0"/>
            </w:rPr>
          </w:pPr>
          <w:r>
            <w:rPr>
              <w:rFonts w:ascii="Arial" w:hAnsi="Arial"/>
              <w:snapToGrid w:val="0"/>
            </w:rPr>
            <w:t>Course Name</w:t>
          </w:r>
        </w:p>
        <w:p w:rsidR="0066785B" w:rsidRDefault="0066785B">
          <w:pPr>
            <w:rPr>
              <w:rFonts w:ascii="Arial" w:hAnsi="Arial"/>
              <w:snapToGrid w:val="0"/>
            </w:rPr>
          </w:pPr>
        </w:p>
      </w:tc>
      <w:tc>
        <w:tcPr>
          <w:tcW w:w="1134" w:type="dxa"/>
        </w:tcPr>
        <w:p w:rsidR="0066785B" w:rsidRDefault="0066785B">
          <w:pPr>
            <w:pStyle w:val="Header"/>
            <w:jc w:val="center"/>
            <w:rPr>
              <w:rFonts w:ascii="Arial" w:hAnsi="Arial"/>
              <w:snapToGrid w:val="0"/>
            </w:rPr>
          </w:pPr>
        </w:p>
      </w:tc>
      <w:tc>
        <w:tcPr>
          <w:tcW w:w="3928" w:type="dxa"/>
        </w:tcPr>
        <w:p w:rsidR="0066785B" w:rsidRDefault="0066785B">
          <w:pPr>
            <w:pStyle w:val="Header"/>
            <w:jc w:val="right"/>
            <w:rPr>
              <w:rFonts w:ascii="Arial" w:hAnsi="Arial"/>
              <w:snapToGrid w:val="0"/>
            </w:rPr>
          </w:pPr>
          <w:r>
            <w:rPr>
              <w:rFonts w:ascii="Arial" w:hAnsi="Arial"/>
              <w:snapToGrid w:val="0"/>
            </w:rPr>
            <w:t>________________</w:t>
          </w:r>
        </w:p>
        <w:p w:rsidR="0066785B" w:rsidRDefault="0066785B">
          <w:pPr>
            <w:pStyle w:val="Header"/>
            <w:jc w:val="right"/>
            <w:rPr>
              <w:rFonts w:ascii="Arial" w:hAnsi="Arial"/>
              <w:snapToGrid w:val="0"/>
            </w:rPr>
          </w:pPr>
          <w:r>
            <w:rPr>
              <w:rFonts w:ascii="Arial" w:hAnsi="Arial"/>
              <w:snapToGrid w:val="0"/>
            </w:rPr>
            <w:t>Code No.</w:t>
          </w:r>
        </w:p>
      </w:tc>
    </w:tr>
  </w:tbl>
  <w:p w:rsidR="0066785B" w:rsidRDefault="0066785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7"/>
  </w:num>
  <w:num w:numId="4">
    <w:abstractNumId w:val="14"/>
  </w:num>
  <w:num w:numId="5">
    <w:abstractNumId w:val="18"/>
  </w:num>
  <w:num w:numId="6">
    <w:abstractNumId w:val="3"/>
  </w:num>
  <w:num w:numId="7">
    <w:abstractNumId w:val="0"/>
  </w:num>
  <w:num w:numId="8">
    <w:abstractNumId w:val="13"/>
  </w:num>
  <w:num w:numId="9">
    <w:abstractNumId w:val="15"/>
  </w:num>
  <w:num w:numId="10">
    <w:abstractNumId w:val="4"/>
  </w:num>
  <w:num w:numId="11">
    <w:abstractNumId w:val="10"/>
  </w:num>
  <w:num w:numId="12">
    <w:abstractNumId w:val="11"/>
  </w:num>
  <w:num w:numId="13">
    <w:abstractNumId w:val="2"/>
  </w:num>
  <w:num w:numId="14">
    <w:abstractNumId w:val="6"/>
  </w:num>
  <w:num w:numId="15">
    <w:abstractNumId w:val="5"/>
  </w:num>
  <w:num w:numId="16">
    <w:abstractNumId w:val="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1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4D34"/>
    <w:rsid w:val="000749A9"/>
    <w:rsid w:val="000F66B6"/>
    <w:rsid w:val="00142E7E"/>
    <w:rsid w:val="002156CE"/>
    <w:rsid w:val="00236061"/>
    <w:rsid w:val="00247AA4"/>
    <w:rsid w:val="002A38E1"/>
    <w:rsid w:val="00487C06"/>
    <w:rsid w:val="00491AD1"/>
    <w:rsid w:val="004B65B7"/>
    <w:rsid w:val="00556EC0"/>
    <w:rsid w:val="0056038F"/>
    <w:rsid w:val="00560671"/>
    <w:rsid w:val="00590DD0"/>
    <w:rsid w:val="005F3151"/>
    <w:rsid w:val="0060171E"/>
    <w:rsid w:val="0066785B"/>
    <w:rsid w:val="006C4D34"/>
    <w:rsid w:val="0074447F"/>
    <w:rsid w:val="00747589"/>
    <w:rsid w:val="007802FA"/>
    <w:rsid w:val="00810FD5"/>
    <w:rsid w:val="00827775"/>
    <w:rsid w:val="009631E5"/>
    <w:rsid w:val="00A12834"/>
    <w:rsid w:val="00A32BC8"/>
    <w:rsid w:val="00A6333A"/>
    <w:rsid w:val="00A872DC"/>
    <w:rsid w:val="00B06776"/>
    <w:rsid w:val="00DE3362"/>
    <w:rsid w:val="00E22331"/>
    <w:rsid w:val="00F7120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3A5EB-6447-448C-BAFF-FF79C3202F4B}"/>
</file>

<file path=customXml/itemProps2.xml><?xml version="1.0" encoding="utf-8"?>
<ds:datastoreItem xmlns:ds="http://schemas.openxmlformats.org/officeDocument/2006/customXml" ds:itemID="{80C82ADB-B668-4B01-90F1-43193D82F8DA}"/>
</file>

<file path=customXml/itemProps3.xml><?xml version="1.0" encoding="utf-8"?>
<ds:datastoreItem xmlns:ds="http://schemas.openxmlformats.org/officeDocument/2006/customXml" ds:itemID="{F970CA61-232E-4BC5-A638-D83E98A5FFE0}"/>
</file>

<file path=docProps/app.xml><?xml version="1.0" encoding="utf-8"?>
<Properties xmlns="http://schemas.openxmlformats.org/officeDocument/2006/extended-properties" xmlns:vt="http://schemas.openxmlformats.org/officeDocument/2006/docPropsVTypes">
  <Template>Normal.dotm</Template>
  <TotalTime>42</TotalTime>
  <Pages>8</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2009-01-05T14:07:00Z</cp:lastPrinted>
  <dcterms:created xsi:type="dcterms:W3CDTF">2009-01-05T14:53:00Z</dcterms:created>
  <dcterms:modified xsi:type="dcterms:W3CDTF">2009-02-10T16:06:00Z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920400</vt:r8>
  </property>
</Properties>
</file>